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ПРОЄКТ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  <w:drawing>
          <wp:inline distB="0" distT="0" distL="114300" distR="114300">
            <wp:extent cx="448310" cy="609600"/>
            <wp:effectExtent b="0" l="0" r="0" t="0"/>
            <wp:docPr id="102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8310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2"/>
          <w:szCs w:val="1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4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    вересня 2022 року              м. Сквира                             №   24-VIII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Про намір передати в оренду нерухоме майно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комунальної власності Сквирської міської ради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нежитлову будівлю (аптеку),загальною площею 66,9 кв.м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розташовану за адресою: вул.Центральна,17А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в с.Самгородок Білоцерківського району Київської області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97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З метою підвищення ефективності використання об’єктів нерухомого майна комунальної власності Сквирської міської ради, відповідно до статті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Закону України «Про оренду державного та комунального майна», враховуючи рішення сесії Сквирської міської ради від 14 вересня 2022 року №08-24-VIII «Про затвердження Переліків першого та другого типу об’єктів комунальної власності Сквирської міської територіальної громади, що підлягають передачі в оренду в новій редакції», керуючись статтями 29 та 60 Закону України «Про місцеве самоврядування в Україні», враховуючи пропозиції постійної комісії з питань комунального майна, житлово-комунального господарства, благоустрою та охорони навколишнього середовища, Сквирська міська рада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VIII скликання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ВИРІШИЛА: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67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Передати в оренду з проведенням аукціону об’єкт нерухомого майна комунальної власності нежитлову будівлю (аптеку) загальною площею 66,9 кв. м за адресою: вул. Центральна, буд. 17а, с. Самгородок Білоцерківського району Київської області.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Визначити умови оренди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об’єкта нерухомого майна комунальної власності,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згідно додатку.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3. Відділу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капітального будівництва, комунальної власності та житлово-комунального господарства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 Сквирської міської ради здійснити дії  по передачі в оренду даного об’єкту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та забезпечити оприлюднення оголошення про передачу в оренду та умови оренди в електронній системі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 згідно з діючим законодавством України.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4.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Контроль за виконанням рішення покласти  на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  <w:rtl w:val="0"/>
        </w:rPr>
        <w:t xml:space="preserve">постійну комісію Сквирської міської ради з питань комунального майна, житлово-комунального господарства, благоустрою та охорони навколишнього середовища.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голова                                                                   Валентина ЛЕВІЦЬКА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4536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до рішення сесії Сквирської міської ради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103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вересня 2022 року №  24-VIII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singl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103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10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5103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Умови оренди нежитлового приміщення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45.0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344"/>
        <w:gridCol w:w="5301"/>
        <w:tblGridChange w:id="0">
          <w:tblGrid>
            <w:gridCol w:w="4344"/>
            <w:gridCol w:w="5301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Назва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Нежитлова будівля (аптека) 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Орендодавець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Відділ капітального будівництва, комунальної власності та житлово-комунального господарства код ЄДРПОУ 44153671, вул.Богачевського, буд.28, м.Сквира, Білоцерківський район, Київська область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Балансоутримувач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Комунальне підприємство Сквирської міської ради «Сквирська центральна аптека №25» код ЄДРПОУ 1977926, вул.Соборна,буд.28, м.Сквира, Білоцерківський район, Київська область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Гончаров Микола Фелорович, тел. (04568) 5-12-34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e-mail: skv_apteka25@ukr.net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вул.Соборна, буд.38, м.Сквира, Білоцерківський район, Київська область У робочі дні з 8.00 до 17.00, обідня перерва з 13.00 до 14.00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Інформація про об’єкт оренди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Тип Переліку, до якого включено об’єкт оренди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Перелік першого типу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Балансова вартість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Первісна балансова вартість – 23832,62 грн., залишкова вартість об’єкта – 4533,27 грн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Тип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Нерухоме майно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Строк оренди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 років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наявність рішень про проведення інвестиційного конкурсу або включення  об’єкта до переліку майна, що підлягає приватизації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Відсутня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отримання балансоутримувачем погодження  органу управління  балансоутримувача у випадках, коли  отримання такого погодження було необхідним відповідно до законодавства, статуту  або положення балансоутримувача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 потребує</w:t>
            </w:r>
          </w:p>
        </w:tc>
      </w:tr>
    </w:tbl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4253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Продовження додатку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45.0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344"/>
        <w:gridCol w:w="5301"/>
        <w:tblGridChange w:id="0">
          <w:tblGrid>
            <w:gridCol w:w="4344"/>
            <w:gridCol w:w="5301"/>
          </w:tblGrid>
        </w:tblGridChange>
      </w:tblGrid>
      <w:tr>
        <w:trPr>
          <w:cantSplit w:val="0"/>
          <w:trHeight w:val="632.929687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56.9685039370072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Чи передбачається можливість передачі об’єкта в суборенду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Без права суборенди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Фотографічні матеріали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Додається окремим файлом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Загальна площа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66,9 кв. м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Корисна площа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66,9 кв. м 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арешти майна/застави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Відсутня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Характеристика об’єкта оренди (будівлі в цілому або частини будівлі із зазначенням розташування об’єкта в будівлі(надземний, цокольний технічний або мансардний поверх, номер поверху)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Нежитлове приміщення з надземним розташуванням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Технічний стан об’єкта потужність електромережі і забезпечення об’єкта комунікаціями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Технічний стан потребує ремонтних робіт, всіма необхідними комунікаціями забезпечено 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Поверховий план об’єкта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Додається окремим файлом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те, що об’єктом оренди є пам’ятка культурної спадщини та інформація про отримання погодження органу охорони культурної спадщини на передачу об’єкта в оренду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Об’єкт не є пам’яткою культурної спадщини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цільове призначення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Для здійснення підприємницької діяльності</w:t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компенсацію витрат на оплату комунальних послуг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Орендар відшкодовує балансоутримувачу витрати на оплату комунальних послуг відповідно до договору.</w:t>
            </w:r>
          </w:p>
        </w:tc>
      </w:tr>
      <w:tr>
        <w:trPr>
          <w:cantSplit w:val="0"/>
          <w:trHeight w:val="910.8691406249999" w:hRule="atLeast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Відповідно до статті 13 Закону України « Про оренду державного та комунального майна» майно передається в оренду з проведення аукціону</w:t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6804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36.0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344"/>
        <w:gridCol w:w="5.999999999999659"/>
        <w:gridCol w:w="5286"/>
        <w:tblGridChange w:id="0">
          <w:tblGrid>
            <w:gridCol w:w="4344"/>
            <w:gridCol w:w="5.999999999999659"/>
            <w:gridCol w:w="5286"/>
          </w:tblGrid>
        </w:tblGridChange>
      </w:tblGrid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Орендна плата, визначена на підставі Методики розрахунку </w:t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Орендної плати за державне майно, затвердженої Постановою КМУ від 28 квітня 2021 року №630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 аукціоні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нарахування ПДВ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ПДВ не нараховується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Найменування установи (банку, казначейства), її місцезнаходження та номери рахунків у національній та іноземній валюті, відкритих для внесення розрахунків за орендовані об’єкти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UA118999980334109850000010844, отримувач</w:t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ГУК у Київ.обл/Сквирська міс/22080402</w:t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код отримувача ЄДРПОУ 37955989, банк отримувача Казначейство України (ел.адм.подат.)</w:t>
            </w:r>
          </w:p>
        </w:tc>
      </w:tr>
      <w:tr>
        <w:trPr>
          <w:cantSplit w:val="0"/>
          <w:tblHeader w:val="0"/>
        </w:trPr>
        <w:tc>
          <w:tcPr>
            <w:gridSpan w:val="3"/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Додаткові умови оренди 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Перелік додаткових умов оренди, з переліку, що визначений абз. 4 п. 55 Порядку передачі в оренду державного та комунального майна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Відсутні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Дата та номер рішення про затвердження додаткових умов оренди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Відсутні</w:t>
            </w:r>
          </w:p>
        </w:tc>
      </w:tr>
      <w:tr>
        <w:trPr>
          <w:cantSplit w:val="0"/>
          <w:tblHeader w:val="0"/>
        </w:trPr>
        <w:tc>
          <w:tcPr>
            <w:gridSpan w:val="3"/>
            <w:vAlign w:val="top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Додаткова інформація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2869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Наявність згоди на здійснення поточного та / або капітального ремонту орендованого майна під час встановлення додаткової умови оренди щодо виконання конкретних видів ремонтних робіт, реконструкції або реставрації об’єкта оренди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Проведення ремонтних робіт за окремим зверненням орендаря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Інформація про необхідність відповідності орендаря вимогам статті 4 Закону України «Про оренду державного та комунального майна»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Потенційний орендар повинен відповідати вимогам до особи орендаря, визначеним статтею 4 «Про оренду державного та комунального майна»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765.0" w:type="dxa"/>
        <w:jc w:val="left"/>
        <w:tblInd w:w="108.0" w:type="pc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350"/>
        <w:gridCol w:w="5415"/>
        <w:tblGridChange w:id="0">
          <w:tblGrid>
            <w:gridCol w:w="4350"/>
            <w:gridCol w:w="5415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Копія охоронного договору, якщо об’єктом оренди є пам’ятка, якщо об’єктом оренди є занедбана пам’ятка, також копія згоди (дозволу) на здійснення ремонту, реставрації, яка дає право на зарахування витрат орендаря в рахунок орендної плати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Відсутній</w:t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Інша додаткова інформація, визначена орендодавцем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Відсутня</w:t>
            </w:r>
          </w:p>
        </w:tc>
      </w:tr>
    </w:tbl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hanging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 відділу капітального будівництва, 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комунального майна та 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225"/>
        </w:tabs>
        <w:spacing w:after="0" w:before="0" w:line="240" w:lineRule="auto"/>
        <w:ind w:left="0" w:right="0" w:hanging="14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житлово - комунального господарства                     </w:t>
        <w:tab/>
        <w:t xml:space="preserve">Наталя КАПІТАНЮК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42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225"/>
        </w:tabs>
        <w:spacing w:after="0" w:before="0" w:line="240" w:lineRule="auto"/>
        <w:ind w:left="0" w:right="0" w:hanging="142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426" w:top="1134" w:left="1701" w:right="435.4724409448835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bidi="ar-SA" w:eastAsia="ru-RU" w:val="uk-UA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Обычный(веб)">
    <w:name w:val="Обычный (веб)"/>
    <w:basedOn w:val="Обычный"/>
    <w:next w:val="Обычный(веб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auto"/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Названиеобъекта">
    <w:name w:val="Название объекта"/>
    <w:basedOn w:val="Обычный"/>
    <w:next w:val="Обычный"/>
    <w:autoRedefine w:val="0"/>
    <w:hidden w:val="0"/>
    <w:qFormat w:val="0"/>
    <w:pPr>
      <w:suppressAutoHyphens w:val="1"/>
      <w:spacing w:after="240" w:line="1" w:lineRule="atLeast"/>
      <w:ind w:left="720" w:leftChars="-1" w:rightChars="0" w:hanging="720" w:firstLineChars="-1"/>
      <w:jc w:val="center"/>
      <w:textDirection w:val="btLr"/>
      <w:textAlignment w:val="top"/>
      <w:outlineLvl w:val="0"/>
    </w:pPr>
    <w:rPr>
      <w:rFonts w:ascii="Times New Roman" w:hAnsi="Times New Roman"/>
      <w:color w:val="auto"/>
      <w:w w:val="100"/>
      <w:position w:val="-1"/>
      <w:sz w:val="32"/>
      <w:szCs w:val="32"/>
      <w:effect w:val="none"/>
      <w:vertAlign w:val="baseline"/>
      <w:cs w:val="0"/>
      <w:em w:val="none"/>
      <w:lang w:bidi="ar-SA" w:eastAsia="ru-RU" w:val="uk-UA"/>
    </w:r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color w:val="000000"/>
      <w:w w:val="87"/>
      <w:position w:val="-1"/>
      <w:sz w:val="16"/>
      <w:szCs w:val="16"/>
      <w:effect w:val="none"/>
      <w:vertAlign w:val="baseline"/>
      <w:cs w:val="0"/>
      <w:em w:val="none"/>
      <w:lang w:bidi="ar-SA" w:eastAsia="ru-RU" w:val="uk-UA"/>
    </w:rPr>
  </w:style>
  <w:style w:type="character" w:styleId="ТекствыноскиЗнак">
    <w:name w:val="Текст выноски Знак"/>
    <w:next w:val="ТекствыноскиЗнак"/>
    <w:autoRedefine w:val="0"/>
    <w:hidden w:val="0"/>
    <w:qFormat w:val="0"/>
    <w:rPr>
      <w:rFonts w:ascii="Tahoma" w:cs="Tahoma" w:hAnsi="Tahoma"/>
      <w:color w:val="000000"/>
      <w:w w:val="87"/>
      <w:position w:val="-1"/>
      <w:sz w:val="16"/>
      <w:szCs w:val="16"/>
      <w:effect w:val="none"/>
      <w:vertAlign w:val="baseline"/>
      <w:cs w:val="0"/>
      <w:em w:val="none"/>
      <w:lang w:eastAsia="ru-RU" w:val="uk-UA"/>
    </w:rPr>
  </w:style>
  <w:style w:type="character" w:styleId="Гиперссылка">
    <w:name w:val="Гиперссылка"/>
    <w:next w:val="Гиперссылка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table" w:styleId="Сеткатаблицы">
    <w:name w:val="Сетка таблицы"/>
    <w:basedOn w:val="Обычнаятаблица"/>
    <w:next w:val="Сеткатаблицы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ru-RU" w:val="ru-RU"/>
    </w:rPr>
    <w:tblPr>
      <w:tblStyle w:val="Сеткатаблицы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Заголовок1">
    <w:name w:val="Заголовок1"/>
    <w:basedOn w:val="Обычный"/>
    <w:next w:val="Основнойтекст"/>
    <w:autoRedefine w:val="0"/>
    <w:hidden w:val="0"/>
    <w:qFormat w:val="0"/>
    <w:pPr>
      <w:suppressAutoHyphens w:val="0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color w:val="auto"/>
      <w:w w:val="100"/>
      <w:position w:val="-1"/>
      <w:sz w:val="24"/>
      <w:szCs w:val="24"/>
      <w:effect w:val="none"/>
      <w:vertAlign w:val="baseline"/>
      <w:cs w:val="0"/>
      <w:em w:val="none"/>
      <w:lang w:bidi="ar-SA" w:eastAsia="zh-CN" w:val="uk-UA"/>
    </w:rPr>
  </w:style>
  <w:style w:type="paragraph" w:styleId="Основнойтекст">
    <w:name w:val="Основной текст"/>
    <w:basedOn w:val="Обычный"/>
    <w:next w:val="Основнойтекст"/>
    <w:autoRedefine w:val="0"/>
    <w:hidden w:val="0"/>
    <w:qFormat w:val="0"/>
    <w:pPr>
      <w:suppressAutoHyphens w:val="1"/>
      <w:spacing w:after="120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bidi="ar-SA" w:eastAsia="ru-RU" w:val="uk-UA"/>
    </w:rPr>
  </w:style>
  <w:style w:type="character" w:styleId="ОсновнойтекстЗнак">
    <w:name w:val="Основной текст Знак"/>
    <w:next w:val="ОсновнойтекстЗнак"/>
    <w:autoRedefine w:val="0"/>
    <w:hidden w:val="0"/>
    <w:qFormat w:val="0"/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eastAsia="ru-RU"/>
    </w:rPr>
  </w:style>
  <w:style w:type="paragraph" w:styleId="Безинтервала">
    <w:name w:val="Без интервала"/>
    <w:next w:val="Безинтервал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000000"/>
      <w:w w:val="87"/>
      <w:position w:val="-1"/>
      <w:sz w:val="28"/>
      <w:szCs w:val="28"/>
      <w:effect w:val="none"/>
      <w:vertAlign w:val="baseline"/>
      <w:cs w:val="0"/>
      <w:em w:val="none"/>
      <w:lang w:bidi="ar-SA" w:eastAsia="ru-RU" w:val="uk-UA"/>
    </w:rPr>
  </w:style>
  <w:style w:type="paragraph" w:styleId="">
    <w:name w:val=""/>
    <w:basedOn w:val="Обычный"/>
    <w:next w:val="Обычный(веб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color w:val="auto"/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ogXJbsaNDSvD7t1m29UKoiGNIw==">AMUW2mVJ8wKqfp5WoLXFnNGMnLZqV7FUAdJWSIyZ+PpsYYVLI411dQZi/nkUevCIDYxr4xmTbG2MHtmezeHB0DoJ0PL59QuUAHmEKLOuK/Fu6c4FBhiU9xE=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2021-09-06T07:36:00Z</dcterms:created>
  <dc:creator>User</dc:creator>
</cp:coreProperties>
</file>